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1FDB4" w14:textId="6BBCCD9D" w:rsidR="00F043B6" w:rsidRDefault="00F043B6" w:rsidP="000A193B">
      <w:pPr>
        <w:ind w:left="2410"/>
        <w:jc w:val="both"/>
        <w:rPr>
          <w:b/>
          <w:i/>
          <w:snapToGrid w:val="0"/>
          <w:sz w:val="40"/>
          <w:lang w:bidi="en-US"/>
        </w:rPr>
      </w:pPr>
      <w:r w:rsidRPr="00F043B6">
        <w:rPr>
          <w:b/>
          <w:snapToGrid w:val="0"/>
          <w:sz w:val="40"/>
          <w:lang w:bidi="en-US"/>
        </w:rPr>
        <w:t>GSP is first in the U.S. to install Agfa’s Jeti Tauro H3300 UHS</w:t>
      </w:r>
      <w:r>
        <w:rPr>
          <w:b/>
          <w:snapToGrid w:val="0"/>
          <w:sz w:val="40"/>
          <w:lang w:bidi="en-US"/>
        </w:rPr>
        <w:t xml:space="preserve"> LED</w:t>
      </w:r>
      <w:r w:rsidRPr="00F043B6">
        <w:rPr>
          <w:b/>
          <w:snapToGrid w:val="0"/>
          <w:sz w:val="40"/>
          <w:lang w:bidi="en-US"/>
        </w:rPr>
        <w:t xml:space="preserve"> premier printer</w:t>
      </w:r>
      <w:r w:rsidRPr="00F043B6">
        <w:rPr>
          <w:b/>
          <w:i/>
          <w:snapToGrid w:val="0"/>
          <w:sz w:val="40"/>
          <w:lang w:bidi="en-US"/>
        </w:rPr>
        <w:t xml:space="preserve"> </w:t>
      </w:r>
    </w:p>
    <w:p w14:paraId="3D26C02B" w14:textId="77777777" w:rsidR="00F043B6" w:rsidRDefault="00F043B6" w:rsidP="004541B1">
      <w:pPr>
        <w:ind w:left="2410"/>
        <w:rPr>
          <w:i/>
        </w:rPr>
      </w:pPr>
      <w:r w:rsidRPr="00F043B6">
        <w:rPr>
          <w:i/>
        </w:rPr>
        <w:t xml:space="preserve">Renowned retail service provider advances future business with innovative technology </w:t>
      </w:r>
    </w:p>
    <w:p w14:paraId="40B7E801" w14:textId="74575E94" w:rsidR="00C76B47" w:rsidRPr="002276D6" w:rsidRDefault="00F043B6" w:rsidP="004541B1">
      <w:pPr>
        <w:ind w:left="2410"/>
        <w:rPr>
          <w:b/>
          <w:szCs w:val="22"/>
        </w:rPr>
      </w:pPr>
      <w:r>
        <w:rPr>
          <w:b/>
          <w:szCs w:val="22"/>
        </w:rPr>
        <w:t>Elmwood Park, NJ, USA</w:t>
      </w:r>
      <w:r w:rsidR="00C76B47" w:rsidRPr="002276D6">
        <w:rPr>
          <w:b/>
          <w:szCs w:val="22"/>
        </w:rPr>
        <w:t xml:space="preserve"> – </w:t>
      </w:r>
      <w:r>
        <w:rPr>
          <w:b/>
          <w:szCs w:val="22"/>
        </w:rPr>
        <w:t>xx</w:t>
      </w:r>
      <w:r w:rsidR="008D3452">
        <w:rPr>
          <w:b/>
          <w:szCs w:val="22"/>
        </w:rPr>
        <w:t xml:space="preserve"> </w:t>
      </w:r>
      <w:r>
        <w:rPr>
          <w:b/>
          <w:szCs w:val="22"/>
        </w:rPr>
        <w:t>July</w:t>
      </w:r>
      <w:r w:rsidR="0045636B" w:rsidRPr="000A193B">
        <w:rPr>
          <w:b/>
          <w:color w:val="auto"/>
          <w:szCs w:val="22"/>
        </w:rPr>
        <w:t xml:space="preserve"> 2021</w:t>
      </w:r>
    </w:p>
    <w:p w14:paraId="06513A7B" w14:textId="153BF336" w:rsidR="00F043B6" w:rsidRDefault="00F043B6" w:rsidP="00F043B6">
      <w:pPr>
        <w:ind w:left="2410"/>
        <w:jc w:val="both"/>
      </w:pPr>
      <w:r w:rsidRPr="00F043B6">
        <w:t>GSP, a leading provider of high-impact visual solutions for the retail market, is expanding their production capabilities with the addition of the first Jeti Tauro H3300 UHS LED system in the U.S. The company delivers in-store marketing programs to more than 70,000 nationwide retail locations from its four G7-certified print facilities.</w:t>
      </w:r>
    </w:p>
    <w:p w14:paraId="37EE1551" w14:textId="768E05F5" w:rsidR="00F043B6" w:rsidRDefault="00F043B6" w:rsidP="00F043B6">
      <w:pPr>
        <w:ind w:left="2410"/>
        <w:jc w:val="both"/>
      </w:pPr>
      <w:r w:rsidRPr="00F043B6">
        <w:t>“Our partnership with GSP continues to flourish with the install of the Jeti Tauro H3300 UHS,” states Deborah Hutcheson, director of strategic business development and distribution at Agfa Corporation North America. “This historical milestone marks the 12th Agfa press established across GSP’s multiple locations</w:t>
      </w:r>
      <w:r>
        <w:t>, culminating</w:t>
      </w:r>
      <w:r w:rsidRPr="00F043B6">
        <w:t xml:space="preserve"> in the first-ever Jeti Tauro H3300 UHS with semi-automation.”</w:t>
      </w:r>
    </w:p>
    <w:p w14:paraId="261779B0" w14:textId="7DB1E36A" w:rsidR="00A6211D" w:rsidRPr="00F043B6" w:rsidRDefault="00F043B6" w:rsidP="00F043B6">
      <w:pPr>
        <w:spacing w:before="240" w:after="0"/>
        <w:ind w:left="2410"/>
        <w:jc w:val="both"/>
        <w:rPr>
          <w:b/>
          <w:color w:val="C00000"/>
          <w:sz w:val="24"/>
        </w:rPr>
      </w:pPr>
      <w:r w:rsidRPr="00F043B6">
        <w:rPr>
          <w:b/>
          <w:color w:val="C00000"/>
          <w:sz w:val="24"/>
        </w:rPr>
        <w:t>30% faster</w:t>
      </w:r>
    </w:p>
    <w:p w14:paraId="265DA0FA" w14:textId="77777777" w:rsidR="00F043B6" w:rsidRDefault="00F043B6" w:rsidP="00F043B6">
      <w:pPr>
        <w:ind w:left="2410"/>
        <w:jc w:val="both"/>
      </w:pPr>
      <w:r>
        <w:t>GSP’s customers will benefit from the Jeti Tauro H3300 UHS’ cutting-edge technology. The Jeti Tauro H3300 UHS (ultra-high-speed) UV LED system is 30% faster than its predecessors and combines industry-leading print quality with versatility and productivity. This ultra-high-speed Jeti Tauro H3300 UHS features an automated unloader for semi-automation.</w:t>
      </w:r>
    </w:p>
    <w:p w14:paraId="70F55DB3" w14:textId="5EE5A874" w:rsidR="00F043B6" w:rsidRPr="00F043B6" w:rsidRDefault="00F043B6" w:rsidP="00F043B6">
      <w:pPr>
        <w:ind w:left="2410"/>
        <w:jc w:val="both"/>
        <w:rPr>
          <w:i/>
        </w:rPr>
      </w:pPr>
      <w:r w:rsidRPr="00F043B6">
        <w:rPr>
          <w:i/>
        </w:rPr>
        <w:t xml:space="preserve">“Choosing to add this technology to our portfolio illustrates the partnership between our two companies,” says Elaine Scrima, GSP vice president of operations. “Our ability to grow and enhance our customer-facing offerings is predicated by our vendors growing with us. The Agfa Jeti Tauro H3300 UHS is an important part of our growth </w:t>
      </w:r>
      <w:r w:rsidRPr="00F043B6">
        <w:rPr>
          <w:i/>
        </w:rPr>
        <w:lastRenderedPageBreak/>
        <w:t>strategy. We are excited to be the first U.S.- based Agfa partner to utilize this technology.”</w:t>
      </w:r>
    </w:p>
    <w:p w14:paraId="101895CA" w14:textId="77777777" w:rsidR="00F043B6" w:rsidRDefault="00F043B6" w:rsidP="00F043B6">
      <w:pPr>
        <w:ind w:left="2410"/>
        <w:jc w:val="both"/>
      </w:pPr>
      <w:r>
        <w:t xml:space="preserve">GSP turns growth strategies into store-level success stories. The award-winning company provides industry-leading retail solutions that drive traffic, reduce costs and enhance the customer experience. Capabilities include assisting retailers with asset and campaign management. GSP’s retail environments team can design custom solutions for retail locations, including fixturing, store re-imaging, branding, displays, and food photography. </w:t>
      </w:r>
    </w:p>
    <w:p w14:paraId="1A37204E" w14:textId="77777777" w:rsidR="00F043B6" w:rsidRPr="00F043B6" w:rsidRDefault="00F043B6" w:rsidP="00F043B6">
      <w:pPr>
        <w:spacing w:before="240" w:after="0"/>
        <w:ind w:left="2410"/>
        <w:jc w:val="both"/>
        <w:rPr>
          <w:b/>
          <w:color w:val="C00000"/>
          <w:sz w:val="24"/>
        </w:rPr>
      </w:pPr>
      <w:r w:rsidRPr="00F043B6">
        <w:rPr>
          <w:b/>
          <w:color w:val="C00000"/>
          <w:sz w:val="24"/>
        </w:rPr>
        <w:t>Prints on rigid and roll media at top quality</w:t>
      </w:r>
    </w:p>
    <w:p w14:paraId="4FDF1379" w14:textId="77777777" w:rsidR="00F043B6" w:rsidRDefault="00F043B6" w:rsidP="00F043B6">
      <w:pPr>
        <w:ind w:left="2410"/>
        <w:jc w:val="both"/>
      </w:pPr>
      <w:r>
        <w:t xml:space="preserve">Nicknamed “The Beast,” the latest Jeti Tauro H3300 UHS UV LED inkjet engine prints media up to 3.3m wide in four or six colors at speeds up to 600 m2/hr (6,458 ft2/hr). Ruggedly built and fit for 24/7 heavy-duty workloads, the Jeti Tauro H3300 UHS is a versatile LED system that can print on rigid and roll media at top quality with the lowest ink consumption. It is well-suited for corrugated cardboard package printing with extended vacuum zones and media guides. </w:t>
      </w:r>
    </w:p>
    <w:p w14:paraId="3BFAD935" w14:textId="77777777" w:rsidR="00F043B6" w:rsidRPr="00F043B6" w:rsidRDefault="00F043B6" w:rsidP="00F043B6">
      <w:pPr>
        <w:spacing w:before="240" w:after="0"/>
        <w:ind w:left="2410"/>
        <w:jc w:val="both"/>
        <w:rPr>
          <w:b/>
          <w:color w:val="C00000"/>
          <w:sz w:val="24"/>
        </w:rPr>
      </w:pPr>
      <w:r w:rsidRPr="00F043B6">
        <w:rPr>
          <w:b/>
          <w:color w:val="C00000"/>
          <w:sz w:val="24"/>
        </w:rPr>
        <w:t>Lowest ink consumption on the market</w:t>
      </w:r>
    </w:p>
    <w:p w14:paraId="216B8E56" w14:textId="5DFAB083" w:rsidR="00F043B6" w:rsidRDefault="00F043B6" w:rsidP="00F043B6">
      <w:pPr>
        <w:ind w:left="2410"/>
        <w:jc w:val="both"/>
      </w:pPr>
      <w:r>
        <w:t>Characterized by a wide color gamut and high color vibrancy, Agfa's GREENGUARD Gold certified Anuvia UV LED inks provide patented 'Thin Ink Layer' technology resulting in the lowest ink consumption on the market. Asanti workflow software powers the Jeti Tauro H3300 UHS controlling and automati</w:t>
      </w:r>
      <w:r>
        <w:t>ng the entire printing process.</w:t>
      </w:r>
    </w:p>
    <w:p w14:paraId="225DBFF7" w14:textId="77777777" w:rsidR="00F043B6" w:rsidRDefault="00F043B6" w:rsidP="00F043B6">
      <w:pPr>
        <w:ind w:left="2410"/>
        <w:jc w:val="both"/>
      </w:pPr>
      <w:r>
        <w:t>GSP builds its business trajectory on the demands of its retail partners and what makes them successful. The team searches for equipment solutions with faster and more efficient production, a wider color gamut, reliability, and redundancy between both presses and facilities. Impeccable instincts in purchasing the Jeti Tauro H3300 UHS solidifies GSP’s leadership and strengthens the partnership with Agfa.</w:t>
      </w:r>
    </w:p>
    <w:p w14:paraId="5683C9D5" w14:textId="148B1978" w:rsidR="00F043B6" w:rsidRDefault="00F043B6" w:rsidP="00F043B6">
      <w:pPr>
        <w:spacing w:after="0"/>
        <w:ind w:left="2410"/>
        <w:jc w:val="both"/>
        <w:rPr>
          <w:b/>
          <w:color w:val="auto"/>
        </w:rPr>
      </w:pPr>
    </w:p>
    <w:p w14:paraId="115591FB" w14:textId="73998849" w:rsidR="005444F1" w:rsidRPr="000A193B" w:rsidRDefault="005444F1" w:rsidP="00F043B6">
      <w:pPr>
        <w:spacing w:line="340" w:lineRule="exact"/>
        <w:ind w:left="2410"/>
        <w:jc w:val="both"/>
        <w:rPr>
          <w:b/>
          <w:sz w:val="21"/>
          <w:szCs w:val="21"/>
        </w:rPr>
      </w:pPr>
      <w:r w:rsidRPr="000A193B">
        <w:rPr>
          <w:b/>
          <w:sz w:val="21"/>
          <w:szCs w:val="21"/>
        </w:rPr>
        <w:lastRenderedPageBreak/>
        <w:t>About Agfa</w:t>
      </w:r>
    </w:p>
    <w:p w14:paraId="1ACE0262" w14:textId="77777777" w:rsidR="005444F1" w:rsidRPr="000A193B" w:rsidRDefault="005444F1" w:rsidP="000A193B">
      <w:pPr>
        <w:autoSpaceDE w:val="0"/>
        <w:autoSpaceDN w:val="0"/>
        <w:adjustRightInd w:val="0"/>
        <w:spacing w:line="240" w:lineRule="auto"/>
        <w:ind w:left="2410"/>
        <w:jc w:val="both"/>
        <w:rPr>
          <w:sz w:val="21"/>
          <w:szCs w:val="21"/>
          <w:lang w:eastAsia="nl-BE"/>
        </w:rPr>
      </w:pPr>
      <w:r w:rsidRPr="000A193B">
        <w:rPr>
          <w:sz w:val="21"/>
          <w:szCs w:val="21"/>
          <w:lang w:eastAsia="nl-BE"/>
        </w:rPr>
        <w:t>Agfa develops, produces and distributes an extensive range of imaging systems and workflow solutions for the printing industry, the healthcare sector, as well as for specific hi-tech industries such as printed electronic</w:t>
      </w:r>
      <w:r w:rsidR="00E218EC" w:rsidRPr="000A193B">
        <w:rPr>
          <w:sz w:val="21"/>
          <w:szCs w:val="21"/>
          <w:lang w:eastAsia="nl-BE"/>
        </w:rPr>
        <w:t>s &amp; renewable energy solutions.</w:t>
      </w:r>
    </w:p>
    <w:p w14:paraId="50497BA2" w14:textId="2E5D2915" w:rsidR="006C33B9" w:rsidRDefault="005444F1" w:rsidP="006C33B9">
      <w:pPr>
        <w:autoSpaceDE w:val="0"/>
        <w:autoSpaceDN w:val="0"/>
        <w:adjustRightInd w:val="0"/>
        <w:spacing w:line="240" w:lineRule="auto"/>
        <w:ind w:left="2410"/>
        <w:jc w:val="both"/>
        <w:rPr>
          <w:sz w:val="21"/>
          <w:szCs w:val="21"/>
          <w:lang w:eastAsia="nl-BE"/>
        </w:rPr>
      </w:pPr>
      <w:r w:rsidRPr="000A193B">
        <w:rPr>
          <w:sz w:val="21"/>
          <w:szCs w:val="21"/>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46FDCEE3" w14:textId="2241E19D" w:rsidR="006C33B9" w:rsidRDefault="006C33B9" w:rsidP="006C33B9">
      <w:pPr>
        <w:autoSpaceDE w:val="0"/>
        <w:autoSpaceDN w:val="0"/>
        <w:adjustRightInd w:val="0"/>
        <w:spacing w:line="240" w:lineRule="auto"/>
        <w:ind w:left="2410"/>
        <w:jc w:val="both"/>
        <w:rPr>
          <w:sz w:val="21"/>
          <w:szCs w:val="21"/>
          <w:lang w:eastAsia="nl-BE"/>
        </w:rPr>
      </w:pPr>
    </w:p>
    <w:tbl>
      <w:tblPr>
        <w:tblStyle w:val="TableGrid"/>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389"/>
      </w:tblGrid>
      <w:tr w:rsidR="006C33B9" w:rsidRPr="006350A0" w14:paraId="1B2862AA" w14:textId="77777777" w:rsidTr="007C78C8">
        <w:tc>
          <w:tcPr>
            <w:tcW w:w="3255" w:type="dxa"/>
          </w:tcPr>
          <w:p w14:paraId="4ABACF4E" w14:textId="77777777" w:rsidR="006C33B9" w:rsidRDefault="006C33B9" w:rsidP="007C78C8">
            <w:pPr>
              <w:autoSpaceDE w:val="0"/>
              <w:autoSpaceDN w:val="0"/>
              <w:adjustRightInd w:val="0"/>
              <w:spacing w:line="240" w:lineRule="auto"/>
              <w:ind w:left="-110"/>
              <w:jc w:val="both"/>
              <w:rPr>
                <w:rFonts w:ascii="Arial" w:hAnsi="Arial"/>
                <w:b/>
                <w:bCs/>
                <w:sz w:val="20"/>
              </w:rPr>
            </w:pPr>
            <w:r w:rsidRPr="006C33B9">
              <w:rPr>
                <w:rFonts w:ascii="Arial" w:hAnsi="Arial"/>
                <w:b/>
                <w:bCs/>
                <w:sz w:val="20"/>
              </w:rPr>
              <w:t xml:space="preserve">Agfa </w:t>
            </w:r>
            <w:r w:rsidRPr="006C33B9">
              <w:rPr>
                <w:rFonts w:ascii="Arial" w:hAnsi="Arial"/>
                <w:b/>
                <w:bCs/>
              </w:rPr>
              <w:t xml:space="preserve">USA </w:t>
            </w:r>
            <w:r w:rsidRPr="006C33B9">
              <w:rPr>
                <w:rFonts w:ascii="Arial" w:hAnsi="Arial"/>
                <w:b/>
                <w:bCs/>
                <w:sz w:val="20"/>
              </w:rPr>
              <w:t>Media Relations</w:t>
            </w:r>
          </w:p>
          <w:p w14:paraId="59E5EA0F" w14:textId="2788FC97" w:rsidR="006C33B9" w:rsidRDefault="006C33B9" w:rsidP="007C78C8">
            <w:pPr>
              <w:autoSpaceDE w:val="0"/>
              <w:autoSpaceDN w:val="0"/>
              <w:adjustRightInd w:val="0"/>
              <w:spacing w:line="240" w:lineRule="auto"/>
              <w:ind w:left="-110"/>
              <w:rPr>
                <w:sz w:val="21"/>
                <w:szCs w:val="21"/>
                <w:lang w:eastAsia="nl-BE"/>
              </w:rPr>
            </w:pPr>
            <w:r w:rsidRPr="006C33B9">
              <w:rPr>
                <w:rFonts w:ascii="Arial" w:hAnsi="Arial"/>
                <w:sz w:val="20"/>
              </w:rPr>
              <w:t>Deborah Hutcheson</w:t>
            </w:r>
            <w:r>
              <w:rPr>
                <w:rFonts w:ascii="Arial" w:hAnsi="Arial"/>
                <w:sz w:val="20"/>
              </w:rPr>
              <w:br/>
            </w:r>
            <w:r w:rsidRPr="006C33B9">
              <w:rPr>
                <w:rFonts w:ascii="Arial" w:hAnsi="Arial"/>
                <w:sz w:val="20"/>
              </w:rPr>
              <w:t>Director of Marketing, Agfa</w:t>
            </w:r>
            <w:r w:rsidR="007C78C8">
              <w:rPr>
                <w:rFonts w:ascii="Arial" w:hAnsi="Arial"/>
                <w:sz w:val="20"/>
              </w:rPr>
              <w:br/>
            </w:r>
            <w:r w:rsidRPr="006C33B9">
              <w:rPr>
                <w:rFonts w:ascii="Arial" w:hAnsi="Arial"/>
                <w:sz w:val="20"/>
              </w:rPr>
              <w:t xml:space="preserve"> </w:t>
            </w:r>
            <w:r w:rsidRPr="006C33B9">
              <w:rPr>
                <w:rFonts w:ascii="Arial" w:hAnsi="Arial"/>
              </w:rPr>
              <w:br/>
            </w:r>
            <w:r w:rsidRPr="006C33B9">
              <w:rPr>
                <w:rFonts w:ascii="Arial" w:hAnsi="Arial"/>
                <w:sz w:val="20"/>
              </w:rPr>
              <w:br/>
              <w:t>T: 800-540-2432 x8584646</w:t>
            </w:r>
            <w:r w:rsidRPr="006C33B9">
              <w:rPr>
                <w:rFonts w:ascii="Arial" w:hAnsi="Arial"/>
                <w:sz w:val="20"/>
              </w:rPr>
              <w:br/>
            </w:r>
            <w:hyperlink r:id="rId8" w:history="1">
              <w:r w:rsidRPr="006C33B9">
                <w:rPr>
                  <w:rStyle w:val="Hyperlink"/>
                  <w:rFonts w:ascii="Arial" w:hAnsi="Arial" w:cs="Arial"/>
                  <w:sz w:val="20"/>
                </w:rPr>
                <w:t>deborah.hutcheson@agfa.com</w:t>
              </w:r>
            </w:hyperlink>
          </w:p>
        </w:tc>
        <w:tc>
          <w:tcPr>
            <w:tcW w:w="3389" w:type="dxa"/>
          </w:tcPr>
          <w:p w14:paraId="5287E9E3" w14:textId="77777777" w:rsidR="006350A0" w:rsidRDefault="006350A0" w:rsidP="007C78C8">
            <w:pPr>
              <w:autoSpaceDE w:val="0"/>
              <w:autoSpaceDN w:val="0"/>
              <w:adjustRightInd w:val="0"/>
              <w:spacing w:line="240" w:lineRule="auto"/>
              <w:rPr>
                <w:rFonts w:ascii="Arial" w:hAnsi="Arial"/>
                <w:sz w:val="20"/>
              </w:rPr>
            </w:pPr>
          </w:p>
          <w:p w14:paraId="530B6FE7" w14:textId="11BB1E59" w:rsidR="006C33B9" w:rsidRPr="006350A0" w:rsidRDefault="006C33B9" w:rsidP="007C78C8">
            <w:pPr>
              <w:autoSpaceDE w:val="0"/>
              <w:autoSpaceDN w:val="0"/>
              <w:adjustRightInd w:val="0"/>
              <w:spacing w:line="240" w:lineRule="auto"/>
              <w:rPr>
                <w:rFonts w:ascii="Arial" w:hAnsi="Arial"/>
                <w:sz w:val="20"/>
                <w:lang w:val="fr-FR"/>
              </w:rPr>
            </w:pPr>
            <w:r w:rsidRPr="007C78C8">
              <w:rPr>
                <w:rFonts w:ascii="Arial" w:hAnsi="Arial"/>
                <w:sz w:val="20"/>
              </w:rPr>
              <w:t>Jeff Lewis</w:t>
            </w:r>
            <w:r w:rsidR="007C78C8">
              <w:rPr>
                <w:rFonts w:ascii="Arial" w:hAnsi="Arial"/>
                <w:sz w:val="20"/>
              </w:rPr>
              <w:t xml:space="preserve">, </w:t>
            </w:r>
            <w:r w:rsidR="007C78C8">
              <w:rPr>
                <w:rFonts w:ascii="Arial" w:hAnsi="Arial"/>
                <w:sz w:val="20"/>
              </w:rPr>
              <w:br/>
            </w:r>
            <w:r>
              <w:rPr>
                <w:rFonts w:ascii="Arial" w:hAnsi="Arial"/>
                <w:sz w:val="20"/>
              </w:rPr>
              <w:t>Media Relations,</w:t>
            </w:r>
            <w:r w:rsidR="007C78C8">
              <w:rPr>
                <w:rFonts w:ascii="Arial" w:hAnsi="Arial"/>
                <w:sz w:val="20"/>
              </w:rPr>
              <w:t xml:space="preserve"> </w:t>
            </w:r>
            <w:r w:rsidR="006350A0">
              <w:rPr>
                <w:rFonts w:ascii="Arial" w:hAnsi="Arial"/>
                <w:sz w:val="20"/>
              </w:rPr>
              <w:br/>
            </w:r>
            <w:r w:rsidRPr="006C33B9">
              <w:rPr>
                <w:rFonts w:ascii="Arial" w:hAnsi="Arial"/>
                <w:sz w:val="20"/>
              </w:rPr>
              <w:t>Penguin Partners Creative, Inc.</w:t>
            </w:r>
            <w:r>
              <w:rPr>
                <w:rFonts w:ascii="Arial" w:hAnsi="Arial"/>
                <w:sz w:val="20"/>
              </w:rPr>
              <w:br/>
            </w:r>
            <w:r>
              <w:rPr>
                <w:rFonts w:ascii="Arial" w:hAnsi="Arial"/>
                <w:sz w:val="20"/>
              </w:rPr>
              <w:br/>
            </w:r>
            <w:r w:rsidRPr="006350A0">
              <w:rPr>
                <w:rFonts w:ascii="Arial" w:hAnsi="Arial"/>
                <w:sz w:val="20"/>
              </w:rPr>
              <w:t>T: 845-535-1118</w:t>
            </w:r>
            <w:r w:rsidRPr="006350A0">
              <w:rPr>
                <w:rFonts w:ascii="Arial" w:hAnsi="Arial"/>
                <w:sz w:val="20"/>
                <w:lang w:val="fr-FR"/>
              </w:rPr>
              <w:br/>
            </w:r>
            <w:hyperlink r:id="rId9" w:history="1">
              <w:r w:rsidRPr="006350A0">
                <w:rPr>
                  <w:rStyle w:val="Hyperlink"/>
                  <w:rFonts w:ascii="Arial" w:hAnsi="Arial" w:cs="Arial"/>
                  <w:sz w:val="20"/>
                  <w:lang w:val="fr-FR"/>
                </w:rPr>
                <w:t>jefflewis.ppc@gmail.com</w:t>
              </w:r>
            </w:hyperlink>
          </w:p>
          <w:p w14:paraId="645139EF" w14:textId="54B230EA" w:rsidR="006C33B9" w:rsidRPr="006350A0" w:rsidRDefault="006C33B9" w:rsidP="006C33B9">
            <w:pPr>
              <w:autoSpaceDE w:val="0"/>
              <w:autoSpaceDN w:val="0"/>
              <w:adjustRightInd w:val="0"/>
              <w:spacing w:line="240" w:lineRule="auto"/>
              <w:jc w:val="both"/>
              <w:rPr>
                <w:rFonts w:ascii="Arial" w:hAnsi="Arial"/>
                <w:sz w:val="20"/>
                <w:lang w:val="fr-FR"/>
              </w:rPr>
            </w:pPr>
          </w:p>
        </w:tc>
      </w:tr>
    </w:tbl>
    <w:p w14:paraId="5479134F" w14:textId="77777777" w:rsidR="006C33B9" w:rsidRPr="006350A0" w:rsidRDefault="006C33B9" w:rsidP="006C33B9">
      <w:pPr>
        <w:autoSpaceDE w:val="0"/>
        <w:autoSpaceDN w:val="0"/>
        <w:adjustRightInd w:val="0"/>
        <w:spacing w:line="240" w:lineRule="auto"/>
        <w:ind w:left="2410"/>
        <w:jc w:val="both"/>
        <w:rPr>
          <w:sz w:val="21"/>
          <w:szCs w:val="21"/>
          <w:lang w:val="fr-FR" w:eastAsia="nl-BE"/>
        </w:rPr>
      </w:pPr>
    </w:p>
    <w:p w14:paraId="7E1E9C6C" w14:textId="77777777" w:rsidR="00F043B6" w:rsidRPr="00F043B6" w:rsidRDefault="00F043B6" w:rsidP="00F043B6">
      <w:pPr>
        <w:spacing w:line="340" w:lineRule="exact"/>
        <w:ind w:left="2410"/>
        <w:jc w:val="both"/>
        <w:rPr>
          <w:b/>
          <w:sz w:val="21"/>
          <w:szCs w:val="21"/>
        </w:rPr>
      </w:pPr>
      <w:r w:rsidRPr="00F043B6">
        <w:rPr>
          <w:b/>
          <w:sz w:val="21"/>
          <w:szCs w:val="21"/>
        </w:rPr>
        <w:t>About GSP</w:t>
      </w:r>
      <w:bookmarkStart w:id="0" w:name="_GoBack"/>
      <w:bookmarkEnd w:id="0"/>
    </w:p>
    <w:p w14:paraId="7763D4B1" w14:textId="77777777" w:rsidR="00F043B6" w:rsidRPr="00F043B6" w:rsidRDefault="00F043B6" w:rsidP="00F043B6">
      <w:pPr>
        <w:autoSpaceDE w:val="0"/>
        <w:autoSpaceDN w:val="0"/>
        <w:adjustRightInd w:val="0"/>
        <w:spacing w:line="240" w:lineRule="auto"/>
        <w:ind w:left="2410"/>
        <w:jc w:val="both"/>
        <w:rPr>
          <w:sz w:val="21"/>
          <w:szCs w:val="21"/>
          <w:lang w:eastAsia="nl-BE"/>
        </w:rPr>
      </w:pPr>
      <w:r w:rsidRPr="00F043B6">
        <w:rPr>
          <w:sz w:val="21"/>
          <w:szCs w:val="21"/>
          <w:lang w:eastAsia="nl-BE"/>
        </w:rPr>
        <w:t xml:space="preserve">Founded in 1978, GSP provides industry leading retail solutions that drive traffic, reduce costs and enhance customer experiences. GSP also offers turnkey design, manufacturing and installation for full-scale store remodels and décor refreshes. GSP’s award-winning design team supports visual merchandising, photography and graphics. Additionally, GSP’s AccuStore® store intelligence technology maintains a single source of accurate site data to help retailers target their growth initiatives to the specific needs of each store. </w:t>
      </w:r>
    </w:p>
    <w:p w14:paraId="5B6F4ED3" w14:textId="4D88DC01" w:rsidR="006C33B9" w:rsidRPr="006C33B9" w:rsidRDefault="00F043B6" w:rsidP="006C33B9">
      <w:pPr>
        <w:autoSpaceDE w:val="0"/>
        <w:autoSpaceDN w:val="0"/>
        <w:adjustRightInd w:val="0"/>
        <w:spacing w:line="240" w:lineRule="auto"/>
        <w:ind w:left="2410"/>
        <w:jc w:val="both"/>
        <w:rPr>
          <w:color w:val="C00000"/>
          <w:sz w:val="21"/>
          <w:szCs w:val="21"/>
          <w:lang w:eastAsia="nl-BE"/>
        </w:rPr>
      </w:pPr>
      <w:hyperlink r:id="rId10" w:history="1">
        <w:r w:rsidRPr="006C33B9">
          <w:rPr>
            <w:color w:val="C00000"/>
            <w:sz w:val="21"/>
            <w:szCs w:val="21"/>
            <w:lang w:eastAsia="nl-BE"/>
          </w:rPr>
          <w:t>www.gspretail.com</w:t>
        </w:r>
      </w:hyperlink>
    </w:p>
    <w:p w14:paraId="0600B6C4" w14:textId="77777777" w:rsidR="006C33B9" w:rsidRDefault="006C33B9" w:rsidP="00F043B6">
      <w:pPr>
        <w:autoSpaceDE w:val="0"/>
        <w:autoSpaceDN w:val="0"/>
        <w:adjustRightInd w:val="0"/>
        <w:spacing w:line="240" w:lineRule="auto"/>
        <w:ind w:left="2410"/>
        <w:jc w:val="both"/>
        <w:rPr>
          <w:sz w:val="21"/>
          <w:szCs w:val="21"/>
          <w:lang w:eastAsia="nl-BE"/>
        </w:rPr>
      </w:pPr>
    </w:p>
    <w:p w14:paraId="700F2D98" w14:textId="07D809E8" w:rsidR="00F043B6" w:rsidRDefault="00F043B6" w:rsidP="00F043B6">
      <w:pPr>
        <w:autoSpaceDE w:val="0"/>
        <w:autoSpaceDN w:val="0"/>
        <w:adjustRightInd w:val="0"/>
        <w:spacing w:line="240" w:lineRule="auto"/>
        <w:ind w:left="2410"/>
        <w:jc w:val="both"/>
        <w:rPr>
          <w:sz w:val="21"/>
          <w:szCs w:val="21"/>
          <w:lang w:eastAsia="nl-BE"/>
        </w:rPr>
      </w:pPr>
      <w:r w:rsidRPr="00F043B6">
        <w:rPr>
          <w:sz w:val="21"/>
          <w:szCs w:val="21"/>
          <w:lang w:eastAsia="nl-BE"/>
        </w:rPr>
        <w:t>For an online version of this press release, click here.</w:t>
      </w:r>
    </w:p>
    <w:p w14:paraId="66F2677A" w14:textId="77777777" w:rsidR="001C13E3" w:rsidRPr="006C33B9" w:rsidRDefault="001C13E3" w:rsidP="00D7694A">
      <w:pPr>
        <w:spacing w:after="0"/>
        <w:ind w:left="2410"/>
        <w:rPr>
          <w:sz w:val="20"/>
        </w:rPr>
      </w:pPr>
    </w:p>
    <w:sectPr w:rsidR="001C13E3" w:rsidRPr="006C33B9" w:rsidSect="005D343D">
      <w:headerReference w:type="default" r:id="rId11"/>
      <w:footerReference w:type="default" r:id="rId12"/>
      <w:headerReference w:type="first" r:id="rId13"/>
      <w:footerReference w:type="first" r:id="rId14"/>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ADA9" w14:textId="77777777" w:rsidR="00EB0A67" w:rsidRDefault="00EB0A67">
      <w:r>
        <w:separator/>
      </w:r>
    </w:p>
    <w:p w14:paraId="3BEDF8E6" w14:textId="77777777" w:rsidR="00EB0A67" w:rsidRDefault="00EB0A67"/>
    <w:p w14:paraId="3372547D" w14:textId="77777777" w:rsidR="00EB0A67" w:rsidRDefault="00EB0A67"/>
    <w:p w14:paraId="44201D72" w14:textId="77777777" w:rsidR="00EB0A67" w:rsidRDefault="00EB0A67"/>
    <w:p w14:paraId="1F1676AF" w14:textId="77777777" w:rsidR="00EB0A67" w:rsidRDefault="00EB0A67"/>
    <w:p w14:paraId="3BD3CA00" w14:textId="77777777" w:rsidR="00EB0A67" w:rsidRDefault="00EB0A67" w:rsidP="00420B47"/>
    <w:p w14:paraId="46F94534" w14:textId="77777777" w:rsidR="00EB0A67" w:rsidRDefault="00EB0A67"/>
    <w:p w14:paraId="63E0C89C" w14:textId="77777777" w:rsidR="00EB0A67" w:rsidRDefault="00EB0A67" w:rsidP="00712957"/>
    <w:p w14:paraId="417CF804" w14:textId="77777777" w:rsidR="00EB0A67" w:rsidRDefault="00EB0A67"/>
  </w:endnote>
  <w:endnote w:type="continuationSeparator" w:id="0">
    <w:p w14:paraId="23CAD35A" w14:textId="77777777" w:rsidR="00EB0A67" w:rsidRDefault="00EB0A67">
      <w:r>
        <w:continuationSeparator/>
      </w:r>
    </w:p>
    <w:p w14:paraId="371AEA5B" w14:textId="77777777" w:rsidR="00EB0A67" w:rsidRDefault="00EB0A67"/>
    <w:p w14:paraId="1E9D638D" w14:textId="77777777" w:rsidR="00EB0A67" w:rsidRDefault="00EB0A67"/>
    <w:p w14:paraId="1700DE6F" w14:textId="77777777" w:rsidR="00EB0A67" w:rsidRDefault="00EB0A67"/>
    <w:p w14:paraId="1762035F" w14:textId="77777777" w:rsidR="00EB0A67" w:rsidRDefault="00EB0A67"/>
    <w:p w14:paraId="26280C16" w14:textId="77777777" w:rsidR="00EB0A67" w:rsidRDefault="00EB0A67" w:rsidP="00420B47"/>
    <w:p w14:paraId="696460C9" w14:textId="77777777" w:rsidR="00EB0A67" w:rsidRDefault="00EB0A67"/>
    <w:p w14:paraId="4AE1F315" w14:textId="77777777" w:rsidR="00EB0A67" w:rsidRDefault="00EB0A67" w:rsidP="00712957"/>
    <w:p w14:paraId="59375454" w14:textId="77777777" w:rsidR="00EB0A67" w:rsidRDefault="00EB0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Narrow Bold">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4CEC0E9F"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6350A0">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6350A0">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0FFBB" w14:textId="77777777" w:rsidR="00EB0A67" w:rsidRDefault="00EB0A67">
      <w:r>
        <w:separator/>
      </w:r>
    </w:p>
    <w:p w14:paraId="40FF82D9" w14:textId="77777777" w:rsidR="00EB0A67" w:rsidRDefault="00EB0A67"/>
    <w:p w14:paraId="254B9779" w14:textId="77777777" w:rsidR="00EB0A67" w:rsidRDefault="00EB0A67"/>
    <w:p w14:paraId="5FFED239" w14:textId="77777777" w:rsidR="00EB0A67" w:rsidRDefault="00EB0A67"/>
    <w:p w14:paraId="4DD3C9AB" w14:textId="77777777" w:rsidR="00EB0A67" w:rsidRDefault="00EB0A67"/>
    <w:p w14:paraId="50EC93B7" w14:textId="77777777" w:rsidR="00EB0A67" w:rsidRDefault="00EB0A67" w:rsidP="00420B47"/>
    <w:p w14:paraId="1EEBB138" w14:textId="77777777" w:rsidR="00EB0A67" w:rsidRDefault="00EB0A67"/>
    <w:p w14:paraId="52FA6DBC" w14:textId="77777777" w:rsidR="00EB0A67" w:rsidRDefault="00EB0A67" w:rsidP="00712957"/>
    <w:p w14:paraId="6C50AE92" w14:textId="77777777" w:rsidR="00EB0A67" w:rsidRDefault="00EB0A67"/>
  </w:footnote>
  <w:footnote w:type="continuationSeparator" w:id="0">
    <w:p w14:paraId="0D648BD6" w14:textId="77777777" w:rsidR="00EB0A67" w:rsidRDefault="00EB0A67">
      <w:r>
        <w:continuationSeparator/>
      </w:r>
    </w:p>
    <w:p w14:paraId="65553920" w14:textId="77777777" w:rsidR="00EB0A67" w:rsidRDefault="00EB0A67"/>
    <w:p w14:paraId="117D7D29" w14:textId="77777777" w:rsidR="00EB0A67" w:rsidRDefault="00EB0A67"/>
    <w:p w14:paraId="16373D07" w14:textId="77777777" w:rsidR="00EB0A67" w:rsidRDefault="00EB0A67"/>
    <w:p w14:paraId="602CF2AF" w14:textId="77777777" w:rsidR="00EB0A67" w:rsidRDefault="00EB0A67"/>
    <w:p w14:paraId="376705CE" w14:textId="77777777" w:rsidR="00EB0A67" w:rsidRDefault="00EB0A67" w:rsidP="00420B47"/>
    <w:p w14:paraId="06568EB3" w14:textId="77777777" w:rsidR="00EB0A67" w:rsidRDefault="00EB0A67"/>
    <w:p w14:paraId="41AD1ADB" w14:textId="77777777" w:rsidR="00EB0A67" w:rsidRDefault="00EB0A67" w:rsidP="00712957"/>
    <w:p w14:paraId="28EC1562" w14:textId="77777777" w:rsidR="00EB0A67" w:rsidRDefault="00EB0A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6350A0"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6350A0"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6"/>
  </w:num>
  <w:num w:numId="8">
    <w:abstractNumId w:val="17"/>
  </w:num>
  <w:num w:numId="9">
    <w:abstractNumId w:val="8"/>
  </w:num>
  <w:num w:numId="10">
    <w:abstractNumId w:val="10"/>
  </w:num>
  <w:num w:numId="11">
    <w:abstractNumId w:val="16"/>
  </w:num>
  <w:num w:numId="12">
    <w:abstractNumId w:val="1"/>
  </w:num>
  <w:num w:numId="13">
    <w:abstractNumId w:val="27"/>
  </w:num>
  <w:num w:numId="14">
    <w:abstractNumId w:val="9"/>
  </w:num>
  <w:num w:numId="15">
    <w:abstractNumId w:val="15"/>
  </w:num>
  <w:num w:numId="16">
    <w:abstractNumId w:val="17"/>
  </w:num>
  <w:num w:numId="17">
    <w:abstractNumId w:val="13"/>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5"/>
  </w:num>
  <w:num w:numId="23">
    <w:abstractNumId w:val="25"/>
  </w:num>
  <w:num w:numId="24">
    <w:abstractNumId w:val="11"/>
  </w:num>
  <w:num w:numId="25">
    <w:abstractNumId w:val="12"/>
  </w:num>
  <w:num w:numId="26">
    <w:abstractNumId w:val="18"/>
  </w:num>
  <w:num w:numId="27">
    <w:abstractNumId w:val="29"/>
  </w:num>
  <w:num w:numId="28">
    <w:abstractNumId w:val="2"/>
  </w:num>
  <w:num w:numId="29">
    <w:abstractNumId w:val="6"/>
  </w:num>
  <w:num w:numId="30">
    <w:abstractNumId w:val="20"/>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1"/>
  </w:num>
  <w:num w:numId="38">
    <w:abstractNumId w:val="22"/>
  </w:num>
  <w:num w:numId="39">
    <w:abstractNumId w:val="21"/>
  </w:num>
  <w:num w:numId="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qwUAVZ4m5S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0A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33B9"/>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C78C8"/>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A3B"/>
    <w:rsid w:val="00E31C6A"/>
    <w:rsid w:val="00E33022"/>
    <w:rsid w:val="00E3367A"/>
    <w:rsid w:val="00E3478E"/>
    <w:rsid w:val="00E3637A"/>
    <w:rsid w:val="00E36C8A"/>
    <w:rsid w:val="00E37180"/>
    <w:rsid w:val="00E373F0"/>
    <w:rsid w:val="00E4042A"/>
    <w:rsid w:val="00E41012"/>
    <w:rsid w:val="00E41126"/>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60D9"/>
    <w:rsid w:val="00EC624D"/>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3B6"/>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ContactInfo">
    <w:name w:val="Contact Info"/>
    <w:basedOn w:val="NoSpacing"/>
    <w:uiPriority w:val="99"/>
    <w:qFormat/>
    <w:rsid w:val="00F043B6"/>
    <w:pPr>
      <w:spacing w:line="240" w:lineRule="exact"/>
    </w:pPr>
    <w:rPr>
      <w:rFonts w:ascii="Century Gothic" w:eastAsiaTheme="minorEastAsia" w:hAnsi="Century Gothic" w:cstheme="minorBidi"/>
      <w:color w:val="000000" w:themeColor="text1"/>
      <w:sz w:val="20"/>
      <w:lang w:eastAsia="ja-JP"/>
    </w:rPr>
  </w:style>
  <w:style w:type="table" w:customStyle="1" w:styleId="Specs">
    <w:name w:val="Specs"/>
    <w:basedOn w:val="TableNormal"/>
    <w:uiPriority w:val="99"/>
    <w:rsid w:val="00F043B6"/>
    <w:pPr>
      <w:spacing w:before="60" w:after="60"/>
    </w:pPr>
    <w:rPr>
      <w:rFonts w:ascii="Century Gothic" w:eastAsiaTheme="minorEastAsia" w:hAnsi="Century Gothic" w:cstheme="minorBidi"/>
      <w:color w:val="44546A" w:themeColor="text2"/>
      <w:lang w:val="en-US" w:eastAsia="ja-JP"/>
    </w:rPr>
    <w:tblPr>
      <w:tblStyleRowBandSize w:val="1"/>
      <w:tblBorders>
        <w:top w:val="single" w:sz="4" w:space="0" w:color="F2F2F2" w:themeColor="background1" w:themeShade="F2"/>
        <w:right w:val="single" w:sz="4" w:space="0" w:color="F2F2F2" w:themeColor="background1" w:themeShade="F2"/>
      </w:tblBorders>
    </w:tblPr>
    <w:tcPr>
      <w:shd w:val="clear" w:color="auto" w:fill="auto"/>
    </w:tc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hutcheson@agf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pretail.com/" TargetMode="External"/><Relationship Id="rId4" Type="http://schemas.openxmlformats.org/officeDocument/2006/relationships/settings" Target="settings.xml"/><Relationship Id="rId9" Type="http://schemas.openxmlformats.org/officeDocument/2006/relationships/hyperlink" Target="mailto:jefflewis.ppc@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3AEE-7859-49D6-AC29-5A7F25C2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20</TotalTime>
  <Pages>3</Pages>
  <Words>702</Words>
  <Characters>4284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4977</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4</cp:revision>
  <cp:lastPrinted>2018-06-04T06:19:00Z</cp:lastPrinted>
  <dcterms:created xsi:type="dcterms:W3CDTF">2021-06-24T14:49:00Z</dcterms:created>
  <dcterms:modified xsi:type="dcterms:W3CDTF">2021-06-24T15:10:00Z</dcterms:modified>
</cp:coreProperties>
</file>